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42" w:rsidRPr="002360BD" w:rsidRDefault="00260F0F" w:rsidP="002360BD">
      <w:pPr>
        <w:pStyle w:val="Standard"/>
        <w:spacing w:after="280"/>
        <w:jc w:val="center"/>
        <w:rPr>
          <w:rFonts w:ascii="Times New Roman" w:eastAsia="Times New Roman" w:hAnsi="Times New Roman" w:cs="Times New Roman"/>
          <w:b/>
        </w:rPr>
      </w:pPr>
      <w:bookmarkStart w:id="0" w:name="_GoBack"/>
      <w:bookmarkEnd w:id="0"/>
      <w:r w:rsidRPr="002360BD">
        <w:rPr>
          <w:rFonts w:ascii="Times New Roman" w:eastAsia="Times New Roman" w:hAnsi="Times New Roman" w:cs="Times New Roman"/>
          <w:b/>
        </w:rPr>
        <w:t>Les effets de l’article 19 de la loi n° 2020-290 du 23 mars 2020 d'urgence pour faire face à l'épidémie de covid-19 sur les indemnités de fonction des élus municipaux et communautaires</w:t>
      </w:r>
    </w:p>
    <w:p w:rsidR="00A84342" w:rsidRPr="002360BD" w:rsidRDefault="00260F0F" w:rsidP="002360BD">
      <w:pPr>
        <w:pStyle w:val="Standard"/>
        <w:spacing w:before="280" w:after="280"/>
        <w:jc w:val="both"/>
        <w:rPr>
          <w:rFonts w:ascii="Times New Roman" w:eastAsia="Times New Roman" w:hAnsi="Times New Roman" w:cs="Times New Roman"/>
        </w:rPr>
      </w:pPr>
      <w:r w:rsidRPr="002360BD">
        <w:rPr>
          <w:rFonts w:ascii="Times New Roman" w:eastAsia="Times New Roman" w:hAnsi="Times New Roman" w:cs="Times New Roman"/>
        </w:rPr>
        <w:t>Les indemnités de fonction versées aux élus locaux suivent les dates de début et de fin du mandat auquel elles correspondent. Dès lors, les indemnités de fonction des élus sortants doivent être maintenues si ces élus exercent encore leurs fonctions, tandis que les nouveaux élus ne pourront bénéficier d’indemnités de fonction qu’à compter du début réel de leur mandat.</w:t>
      </w:r>
    </w:p>
    <w:p w:rsidR="00A84342" w:rsidRPr="002360BD" w:rsidRDefault="00260F0F" w:rsidP="002360BD">
      <w:pPr>
        <w:pStyle w:val="Standard"/>
        <w:spacing w:before="280" w:after="280"/>
        <w:jc w:val="both"/>
      </w:pPr>
      <w:r w:rsidRPr="002360BD">
        <w:rPr>
          <w:rFonts w:ascii="Times New Roman" w:eastAsia="Times New Roman" w:hAnsi="Times New Roman" w:cs="Times New Roman"/>
          <w:u w:val="single"/>
        </w:rPr>
        <w:t>Ainsi, s’agissant des communes</w:t>
      </w:r>
      <w:r w:rsidRPr="002360BD">
        <w:rPr>
          <w:rFonts w:ascii="Times New Roman" w:eastAsia="Times New Roman" w:hAnsi="Times New Roman" w:cs="Times New Roman"/>
        </w:rPr>
        <w:t> :</w:t>
      </w:r>
    </w:p>
    <w:p w:rsidR="00A84342" w:rsidRPr="002360BD" w:rsidRDefault="00260F0F" w:rsidP="002360BD">
      <w:pPr>
        <w:pStyle w:val="Standard"/>
        <w:numPr>
          <w:ilvl w:val="0"/>
          <w:numId w:val="4"/>
        </w:numPr>
        <w:spacing w:before="280" w:after="280"/>
        <w:jc w:val="both"/>
        <w:rPr>
          <w:rFonts w:ascii="Times New Roman" w:eastAsia="Times New Roman" w:hAnsi="Times New Roman" w:cs="Times New Roman"/>
        </w:rPr>
      </w:pPr>
      <w:r w:rsidRPr="002360BD">
        <w:rPr>
          <w:rFonts w:ascii="Times New Roman" w:eastAsia="Times New Roman" w:hAnsi="Times New Roman" w:cs="Times New Roman"/>
        </w:rPr>
        <w:t>Le maire et ses adjoints conservent le bénéfice de leur indemnité de fonction jusqu’à la date d</w:t>
      </w:r>
      <w:r w:rsidR="002360BD" w:rsidRPr="002360BD">
        <w:rPr>
          <w:rFonts w:ascii="Times New Roman" w:eastAsia="Times New Roman" w:hAnsi="Times New Roman" w:cs="Times New Roman"/>
        </w:rPr>
        <w:t>e la première réunion d</w:t>
      </w:r>
      <w:r w:rsidRPr="002360BD">
        <w:rPr>
          <w:rFonts w:ascii="Times New Roman" w:eastAsia="Times New Roman" w:hAnsi="Times New Roman" w:cs="Times New Roman"/>
        </w:rPr>
        <w:t>u conseil nouvellement élu, que la commune ait, ou non, à organiser un second tour, conformément au droit commun qui leur est applicable (article L. 2122-15 du code général des collectivités territoriales – CGCT).</w:t>
      </w:r>
    </w:p>
    <w:p w:rsidR="00A84342" w:rsidRPr="002360BD" w:rsidRDefault="00260F0F" w:rsidP="002360BD">
      <w:pPr>
        <w:pStyle w:val="Standard"/>
        <w:numPr>
          <w:ilvl w:val="0"/>
          <w:numId w:val="5"/>
        </w:numPr>
        <w:spacing w:before="280" w:after="240"/>
        <w:jc w:val="both"/>
        <w:rPr>
          <w:rFonts w:ascii="Times New Roman" w:eastAsia="Times New Roman" w:hAnsi="Times New Roman" w:cs="Times New Roman"/>
        </w:rPr>
      </w:pPr>
      <w:r w:rsidRPr="002360BD">
        <w:rPr>
          <w:rFonts w:ascii="Times New Roman" w:eastAsia="Times New Roman" w:hAnsi="Times New Roman" w:cs="Times New Roman"/>
        </w:rPr>
        <w:t xml:space="preserve">Dans les communes où le conseil municipal a été élu au complet dès le premier tour, les conseillers municipaux sortants conservent leur indemnité de fonction jusqu’à la fin de leur mandat, c’est-à-dire la date </w:t>
      </w:r>
      <w:r w:rsidR="002F2929">
        <w:rPr>
          <w:rFonts w:ascii="Times New Roman" w:eastAsia="Times New Roman" w:hAnsi="Times New Roman" w:cs="Times New Roman"/>
        </w:rPr>
        <w:t xml:space="preserve">du 18 mai </w:t>
      </w:r>
      <w:r w:rsidRPr="002360BD">
        <w:rPr>
          <w:rFonts w:ascii="Times New Roman" w:eastAsia="Times New Roman" w:hAnsi="Times New Roman" w:cs="Times New Roman"/>
        </w:rPr>
        <w:t xml:space="preserve">fixée par le décret </w:t>
      </w:r>
      <w:r w:rsidR="002F2929">
        <w:rPr>
          <w:rFonts w:ascii="Times New Roman" w:eastAsia="Times New Roman" w:hAnsi="Times New Roman" w:cs="Times New Roman"/>
        </w:rPr>
        <w:t>n° 2020-571 du 14 mai 2020</w:t>
      </w:r>
      <w:r w:rsidRPr="002360BD">
        <w:rPr>
          <w:rFonts w:ascii="Times New Roman" w:eastAsia="Times New Roman" w:hAnsi="Times New Roman" w:cs="Times New Roman"/>
        </w:rPr>
        <w:t xml:space="preserve"> (à l’article 19, lire de manière combinée le III et le 1° du IV) ;</w:t>
      </w:r>
    </w:p>
    <w:p w:rsidR="00A84342" w:rsidRPr="002360BD" w:rsidRDefault="00260F0F" w:rsidP="002360BD">
      <w:pPr>
        <w:pStyle w:val="Standard"/>
        <w:numPr>
          <w:ilvl w:val="0"/>
          <w:numId w:val="6"/>
        </w:numPr>
        <w:spacing w:after="240"/>
        <w:jc w:val="both"/>
      </w:pPr>
      <w:r w:rsidRPr="002360BD">
        <w:rPr>
          <w:rFonts w:ascii="Times New Roman" w:eastAsia="Times New Roman" w:hAnsi="Times New Roman" w:cs="Times New Roman"/>
          <w:color w:val="000000"/>
        </w:rPr>
        <w:t>Dans les communes où un second tour doit être organisé, les conseillers sortants conservent leur indemnité de fonction jusqu’au second tour (2° et 3° du IV), dont la date sera fixée par décret (premier alinéa du I)</w:t>
      </w:r>
      <w:r w:rsidR="00D75406">
        <w:rPr>
          <w:rFonts w:ascii="Times New Roman" w:eastAsia="Times New Roman" w:hAnsi="Times New Roman" w:cs="Times New Roman"/>
          <w:color w:val="000000"/>
        </w:rPr>
        <w:t xml:space="preserve"> (si le second tour doit avoir lieu après le mois de juin, une nouvelle loi sera votée)</w:t>
      </w:r>
      <w:r w:rsidRPr="002360BD">
        <w:rPr>
          <w:rFonts w:ascii="Times New Roman" w:eastAsia="Times New Roman" w:hAnsi="Times New Roman" w:cs="Times New Roman"/>
          <w:color w:val="000000"/>
        </w:rPr>
        <w:t>.</w:t>
      </w:r>
    </w:p>
    <w:p w:rsidR="00A84342" w:rsidRPr="002360BD" w:rsidRDefault="00260F0F" w:rsidP="002360BD">
      <w:pPr>
        <w:pStyle w:val="Standard"/>
        <w:spacing w:after="240"/>
        <w:jc w:val="both"/>
      </w:pPr>
      <w:r w:rsidRPr="002360BD">
        <w:rPr>
          <w:rFonts w:ascii="Times New Roman" w:eastAsia="Times New Roman" w:hAnsi="Times New Roman" w:cs="Times New Roman"/>
          <w:color w:val="000000"/>
          <w:u w:val="single"/>
        </w:rPr>
        <w:t>S'agissant des établissements publics de coopération intercommunale à fiscalité propre (EPCI-FP)</w:t>
      </w:r>
      <w:r w:rsidRPr="002360BD">
        <w:rPr>
          <w:rFonts w:ascii="Times New Roman" w:eastAsia="Times New Roman" w:hAnsi="Times New Roman" w:cs="Times New Roman"/>
          <w:color w:val="000000"/>
        </w:rPr>
        <w:t> :</w:t>
      </w:r>
    </w:p>
    <w:p w:rsidR="00A84342" w:rsidRPr="002360BD" w:rsidRDefault="00260F0F" w:rsidP="002360BD">
      <w:pPr>
        <w:pStyle w:val="Standard"/>
        <w:numPr>
          <w:ilvl w:val="0"/>
          <w:numId w:val="2"/>
        </w:numPr>
        <w:spacing w:after="240"/>
        <w:jc w:val="both"/>
      </w:pPr>
      <w:r w:rsidRPr="002360BD">
        <w:rPr>
          <w:rFonts w:ascii="Times New Roman" w:eastAsia="Times New Roman" w:hAnsi="Times New Roman" w:cs="Times New Roman"/>
        </w:rPr>
        <w:t>Le président</w:t>
      </w:r>
      <w:r w:rsidR="00986A03">
        <w:rPr>
          <w:rFonts w:ascii="Times New Roman" w:eastAsia="Times New Roman" w:hAnsi="Times New Roman" w:cs="Times New Roman"/>
        </w:rPr>
        <w:t>,</w:t>
      </w:r>
      <w:r w:rsidRPr="002360BD">
        <w:rPr>
          <w:rFonts w:ascii="Times New Roman" w:eastAsia="Times New Roman" w:hAnsi="Times New Roman" w:cs="Times New Roman"/>
        </w:rPr>
        <w:t xml:space="preserve"> les vice-présidents </w:t>
      </w:r>
      <w:r w:rsidR="00986A03">
        <w:rPr>
          <w:rFonts w:ascii="Times New Roman" w:eastAsia="Times New Roman" w:hAnsi="Times New Roman" w:cs="Times New Roman"/>
        </w:rPr>
        <w:t xml:space="preserve">et les membres du bureau </w:t>
      </w:r>
      <w:r w:rsidRPr="002360BD">
        <w:rPr>
          <w:rFonts w:ascii="Times New Roman" w:eastAsia="Times New Roman" w:hAnsi="Times New Roman" w:cs="Times New Roman"/>
        </w:rPr>
        <w:t xml:space="preserve">en exercice à la date </w:t>
      </w:r>
      <w:r w:rsidR="002F2929">
        <w:rPr>
          <w:rFonts w:ascii="Times New Roman" w:eastAsia="Times New Roman" w:hAnsi="Times New Roman" w:cs="Times New Roman"/>
        </w:rPr>
        <w:t>du 18 mai 2020</w:t>
      </w:r>
      <w:r w:rsidRPr="002360BD">
        <w:rPr>
          <w:rFonts w:ascii="Times New Roman" w:eastAsia="Times New Roman" w:hAnsi="Times New Roman" w:cs="Times New Roman"/>
        </w:rPr>
        <w:t xml:space="preserve"> sont maintenus dans leurs fonctions jusqu’à </w:t>
      </w:r>
      <w:r w:rsidR="009238D3" w:rsidRPr="009238D3">
        <w:rPr>
          <w:rFonts w:ascii="Times New Roman" w:eastAsia="Times New Roman" w:hAnsi="Times New Roman" w:cs="Times New Roman"/>
        </w:rPr>
        <w:t>la date de la première réunion du conseil communautaire qui résultera soit de l’entrée en fonctions des conseils municipaux élus au premier tour, si l’EPCI est uniquement composé de communes dont le conseil municipal a été intégralement élu au premier tour,  soit du second tour dans les autres cas (voir le 4. du VII)</w:t>
      </w:r>
      <w:r w:rsidRPr="002360BD">
        <w:rPr>
          <w:rFonts w:ascii="Times New Roman" w:eastAsia="Times New Roman" w:hAnsi="Times New Roman" w:cs="Times New Roman"/>
        </w:rPr>
        <w:t>. Leurs délégations de fonctions et les délibérations du conseil étant également maintenues, ces élus continueront à percevoir leurs indemnités de fonction jusqu’à ladite date d’installation, qui marquera la fin de leurs fonctions. Ces dispositions ne font pas obstacle à l’application du droit commun en ce qui concerne d’éventuelles absences, suspensions, révocations ou empêchements de ces élus.</w:t>
      </w:r>
    </w:p>
    <w:p w:rsidR="00A84342" w:rsidRPr="002360BD" w:rsidRDefault="00260F0F" w:rsidP="002360BD">
      <w:pPr>
        <w:pStyle w:val="Standard"/>
        <w:numPr>
          <w:ilvl w:val="0"/>
          <w:numId w:val="2"/>
        </w:numPr>
        <w:spacing w:after="240"/>
        <w:jc w:val="both"/>
      </w:pPr>
      <w:r w:rsidRPr="002360BD">
        <w:rPr>
          <w:rFonts w:ascii="Times New Roman" w:eastAsia="Times New Roman" w:hAnsi="Times New Roman" w:cs="Times New Roman"/>
        </w:rPr>
        <w:t xml:space="preserve">Dans les EPCI-FP ne comprenant que des communes dont le conseil municipal a été intégralement élu au premier tour, les conseillers communautaires sortants continuent de percevoir leurs indemnités de fonction jusqu’à la date de début de mandat des nouveaux élus, fixée </w:t>
      </w:r>
      <w:r w:rsidR="002F2929">
        <w:rPr>
          <w:rFonts w:ascii="Times New Roman" w:eastAsia="Times New Roman" w:hAnsi="Times New Roman" w:cs="Times New Roman"/>
        </w:rPr>
        <w:t>au 18 mai 2020</w:t>
      </w:r>
      <w:r w:rsidRPr="002360BD">
        <w:rPr>
          <w:rFonts w:ascii="Times New Roman" w:eastAsia="Times New Roman" w:hAnsi="Times New Roman" w:cs="Times New Roman"/>
        </w:rPr>
        <w:t>.</w:t>
      </w:r>
    </w:p>
    <w:p w:rsidR="00A84342" w:rsidRPr="002360BD" w:rsidRDefault="00260F0F" w:rsidP="002360BD">
      <w:pPr>
        <w:pStyle w:val="Standard"/>
        <w:numPr>
          <w:ilvl w:val="0"/>
          <w:numId w:val="2"/>
        </w:numPr>
        <w:jc w:val="both"/>
      </w:pPr>
      <w:r w:rsidRPr="002360BD">
        <w:rPr>
          <w:rFonts w:ascii="Times New Roman" w:eastAsia="Times New Roman" w:hAnsi="Times New Roman" w:cs="Times New Roman"/>
        </w:rPr>
        <w:t>Dans les autres EPCI-FP, les conseillers communautaires sortants conservent leur indemnité de fonction jusqu’à la fin de leur mandat, c’est-à-dire jusqu’à la date du second tour (2° et 3° du IV) ou, pour les communes dont le conseil a été élu au complet dès le premier tour, jusqu'</w:t>
      </w:r>
      <w:r w:rsidR="002F2929">
        <w:rPr>
          <w:rFonts w:ascii="Times New Roman" w:eastAsia="Times New Roman" w:hAnsi="Times New Roman" w:cs="Times New Roman"/>
        </w:rPr>
        <w:t>au 18 mai 2020</w:t>
      </w:r>
      <w:r w:rsidRPr="002360BD">
        <w:rPr>
          <w:rFonts w:ascii="Times New Roman" w:eastAsia="Times New Roman" w:hAnsi="Times New Roman" w:cs="Times New Roman"/>
        </w:rPr>
        <w:t xml:space="preserve">. Toutefois, entre la date du décret précité et la première réunion de l’organe délibérant de l'EPCI qui résultera du second tour, la loi </w:t>
      </w:r>
      <w:r w:rsidRPr="002360BD">
        <w:rPr>
          <w:rFonts w:ascii="Times New Roman" w:eastAsia="Times New Roman" w:hAnsi="Times New Roman" w:cs="Times New Roman"/>
        </w:rPr>
        <w:lastRenderedPageBreak/>
        <w:t>prévoit des modalités particulières pour certains élus, applicables seulement durant cette période transitoire (définies au VII) :</w:t>
      </w:r>
    </w:p>
    <w:p w:rsidR="00A84342" w:rsidRDefault="00260F0F" w:rsidP="002360BD">
      <w:pPr>
        <w:pStyle w:val="Standard"/>
        <w:numPr>
          <w:ilvl w:val="0"/>
          <w:numId w:val="7"/>
        </w:numPr>
        <w:tabs>
          <w:tab w:val="left" w:pos="3872"/>
        </w:tabs>
        <w:spacing w:after="240"/>
        <w:ind w:left="1560"/>
        <w:jc w:val="both"/>
        <w:rPr>
          <w:rFonts w:ascii="Times New Roman" w:eastAsia="Times New Roman" w:hAnsi="Times New Roman" w:cs="Times New Roman"/>
        </w:rPr>
      </w:pPr>
      <w:r w:rsidRPr="002360BD">
        <w:rPr>
          <w:rFonts w:ascii="Times New Roman" w:eastAsia="Times New Roman" w:hAnsi="Times New Roman" w:cs="Times New Roman"/>
        </w:rPr>
        <w:t>Lorsqu’une commune dispose de moins de sièges qu’avant le renouvellement général, le Préfet désigne les élus dont le mandat doit cesser ; ces élus perdent alors le bénéfice de leurs indemnités de fonction à la date de notification ou publication de la décision du Préfet (3. du VII).</w:t>
      </w:r>
    </w:p>
    <w:p w:rsidR="002F2929" w:rsidRPr="002360BD" w:rsidRDefault="002F2929" w:rsidP="002F2929">
      <w:pPr>
        <w:pStyle w:val="Standard"/>
        <w:numPr>
          <w:ilvl w:val="0"/>
          <w:numId w:val="7"/>
        </w:numPr>
        <w:tabs>
          <w:tab w:val="left" w:pos="3872"/>
        </w:tabs>
        <w:spacing w:after="240"/>
        <w:ind w:left="1560"/>
        <w:jc w:val="both"/>
        <w:rPr>
          <w:rFonts w:ascii="Times New Roman" w:eastAsia="Times New Roman" w:hAnsi="Times New Roman" w:cs="Times New Roman"/>
        </w:rPr>
      </w:pPr>
      <w:r w:rsidRPr="002360BD">
        <w:rPr>
          <w:rFonts w:ascii="Times New Roman" w:eastAsia="Times New Roman" w:hAnsi="Times New Roman" w:cs="Times New Roman"/>
        </w:rPr>
        <w:t>Lorsqu’</w:t>
      </w:r>
      <w:r>
        <w:rPr>
          <w:rFonts w:ascii="Times New Roman" w:eastAsia="Times New Roman" w:hAnsi="Times New Roman" w:cs="Times New Roman"/>
        </w:rPr>
        <w:t xml:space="preserve">à l’inverse, </w:t>
      </w:r>
      <w:r w:rsidRPr="002360BD">
        <w:rPr>
          <w:rFonts w:ascii="Times New Roman" w:eastAsia="Times New Roman" w:hAnsi="Times New Roman" w:cs="Times New Roman"/>
        </w:rPr>
        <w:t xml:space="preserve">une commune dispose, au sein du conseil de l'EPCI, de davantage de sièges que lors du précédent renouvellement général, le Préfet désigne les élus appelés à y siéger jusqu’à la fin de la période transitoire. Ces élus </w:t>
      </w:r>
      <w:r>
        <w:rPr>
          <w:rFonts w:ascii="Times New Roman" w:eastAsia="Times New Roman" w:hAnsi="Times New Roman" w:cs="Times New Roman"/>
        </w:rPr>
        <w:t>peuvent être indemnisés dans les conditions décrites ci-après</w:t>
      </w:r>
      <w:r w:rsidRPr="002360BD">
        <w:rPr>
          <w:rFonts w:ascii="Times New Roman" w:eastAsia="Times New Roman" w:hAnsi="Times New Roman" w:cs="Times New Roman"/>
        </w:rPr>
        <w:t xml:space="preserve"> (2. du VII).</w:t>
      </w:r>
    </w:p>
    <w:p w:rsidR="00A84342" w:rsidRPr="00F86B4D" w:rsidRDefault="00260F0F" w:rsidP="00FC7DBA">
      <w:pPr>
        <w:pStyle w:val="Standard"/>
        <w:numPr>
          <w:ilvl w:val="0"/>
          <w:numId w:val="2"/>
        </w:numPr>
        <w:spacing w:before="280" w:after="280"/>
        <w:jc w:val="both"/>
        <w:rPr>
          <w:rFonts w:ascii="Times New Roman" w:eastAsia="Times New Roman" w:hAnsi="Times New Roman" w:cs="Times New Roman"/>
        </w:rPr>
      </w:pPr>
      <w:r w:rsidRPr="00F86B4D">
        <w:rPr>
          <w:rFonts w:ascii="Times New Roman" w:eastAsia="Times New Roman" w:hAnsi="Times New Roman" w:cs="Times New Roman"/>
        </w:rPr>
        <w:t xml:space="preserve">S’agissant des nouveaux élus, ils pourront commencer à percevoir une indemnité de fonction dans les conditions du droit commun. Une délibération est en effet systématiquement nécessaire (à l’exception du maire) qui peut, à titre exceptionnel, revêtir un caractère rétroactif. </w:t>
      </w:r>
      <w:r w:rsidR="003976C1">
        <w:rPr>
          <w:rFonts w:ascii="Times New Roman" w:eastAsia="Times New Roman" w:hAnsi="Times New Roman" w:cs="Times New Roman"/>
        </w:rPr>
        <w:t>En temps normal, l</w:t>
      </w:r>
      <w:r w:rsidRPr="00F86B4D">
        <w:rPr>
          <w:rFonts w:ascii="Times New Roman" w:eastAsia="Times New Roman" w:hAnsi="Times New Roman" w:cs="Times New Roman"/>
        </w:rPr>
        <w:t xml:space="preserve">a date du début de versement des indemnités peut ainsi être fixée à la date de leur désignation (pour les maires, adjoints, ou présidents et vice-présidents d’établissements publics de coopération intercommunale) ou à la date de la première réunion du conseil (pour les conseillers sans délégation). </w:t>
      </w:r>
      <w:r w:rsidR="003976C1">
        <w:rPr>
          <w:rFonts w:ascii="Times New Roman" w:eastAsia="Times New Roman" w:hAnsi="Times New Roman" w:cs="Times New Roman"/>
        </w:rPr>
        <w:t xml:space="preserve">Au regard des circonstances particulières liées à la crise sanitaire, ce caractère rétroactif pourra être étendu à la période transitoire pour l’ensemble des élus qui auront été amenés à siéger au sein du conseil de l’EPCI durant la période transitoire, soit parce qu’ils sont issus d’une commune dont le conseil a été élu au complet dès le premier tour et qui les a désignés en tant que conseillers communautaires, soit parce </w:t>
      </w:r>
      <w:r w:rsidRPr="00F86B4D">
        <w:rPr>
          <w:rFonts w:ascii="Times New Roman" w:eastAsia="Times New Roman" w:hAnsi="Times New Roman" w:cs="Times New Roman"/>
        </w:rPr>
        <w:t>qu’ils ont été désignés par le Préfet en application du 2. du VII.</w:t>
      </w:r>
      <w:r w:rsidR="003976C1">
        <w:rPr>
          <w:rFonts w:ascii="Times New Roman" w:eastAsia="Times New Roman" w:hAnsi="Times New Roman" w:cs="Times New Roman"/>
        </w:rPr>
        <w:t xml:space="preserve"> Il con</w:t>
      </w:r>
      <w:r w:rsidR="0001602B">
        <w:rPr>
          <w:rFonts w:ascii="Times New Roman" w:eastAsia="Times New Roman" w:hAnsi="Times New Roman" w:cs="Times New Roman"/>
        </w:rPr>
        <w:t xml:space="preserve">vient néanmoins de souligner que l’extension de cette rétroactivité à la période transitoire ne </w:t>
      </w:r>
      <w:r w:rsidR="003976C1">
        <w:rPr>
          <w:rFonts w:ascii="Times New Roman" w:eastAsia="Times New Roman" w:hAnsi="Times New Roman" w:cs="Times New Roman"/>
        </w:rPr>
        <w:t xml:space="preserve"> </w:t>
      </w:r>
      <w:r w:rsidR="0001602B">
        <w:rPr>
          <w:rFonts w:ascii="Times New Roman" w:eastAsia="Times New Roman" w:hAnsi="Times New Roman" w:cs="Times New Roman"/>
        </w:rPr>
        <w:t xml:space="preserve">peut concerner que les indemnités de fonction liées au mandat de conseiller communautaire, et non les indemnités de fonction correspondant à la fonction de président, de vice-président ou de conseiller titulaire d’une délégation de fonction. </w:t>
      </w:r>
    </w:p>
    <w:p w:rsidR="00A84342" w:rsidRDefault="00A84342" w:rsidP="002360BD">
      <w:pPr>
        <w:pStyle w:val="Standard"/>
      </w:pPr>
    </w:p>
    <w:sectPr w:rsidR="00A84342" w:rsidSect="00A5743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48" w:rsidRDefault="00665648">
      <w:r>
        <w:separator/>
      </w:r>
    </w:p>
  </w:endnote>
  <w:endnote w:type="continuationSeparator" w:id="0">
    <w:p w:rsidR="00665648" w:rsidRDefault="006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48" w:rsidRDefault="00665648">
      <w:r>
        <w:rPr>
          <w:color w:val="000000"/>
        </w:rPr>
        <w:separator/>
      </w:r>
    </w:p>
  </w:footnote>
  <w:footnote w:type="continuationSeparator" w:id="0">
    <w:p w:rsidR="00665648" w:rsidRDefault="006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34A"/>
    <w:multiLevelType w:val="multilevel"/>
    <w:tmpl w:val="F7F06A6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D0F3282"/>
    <w:multiLevelType w:val="hybridMultilevel"/>
    <w:tmpl w:val="D4CE83B4"/>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CD03AA"/>
    <w:multiLevelType w:val="multilevel"/>
    <w:tmpl w:val="819CD3B8"/>
    <w:styleLink w:val="WWNum1"/>
    <w:lvl w:ilvl="0">
      <w:numFmt w:val="bullet"/>
      <w:lvlText w:val="⇒"/>
      <w:lvlJc w:val="left"/>
      <w:pPr>
        <w:ind w:left="720" w:hanging="360"/>
      </w:pPr>
      <w:rPr>
        <w:rFonts w:ascii="Noto Sans Symbols" w:eastAsia="Noto Sans Symbols" w:hAnsi="Noto Sans Symbols" w:cs="Noto Sans Symbols"/>
        <w:color w:val="000000"/>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440" w:hanging="360"/>
      </w:pPr>
      <w:rPr>
        <w:rFonts w:ascii="Noto Sans Symbols" w:eastAsia="Noto Sans Symbols" w:hAnsi="Noto Sans Symbols" w:cs="Noto Sans Symbols"/>
        <w:sz w:val="20"/>
        <w:szCs w:val="20"/>
      </w:rPr>
    </w:lvl>
    <w:lvl w:ilvl="3">
      <w:numFmt w:val="bullet"/>
      <w:lvlText w:val="▪"/>
      <w:lvlJc w:val="left"/>
      <w:pPr>
        <w:ind w:left="1800" w:hanging="360"/>
      </w:pPr>
      <w:rPr>
        <w:rFonts w:ascii="Noto Sans Symbols" w:eastAsia="Noto Sans Symbols" w:hAnsi="Noto Sans Symbols" w:cs="Noto Sans Symbols"/>
        <w:sz w:val="20"/>
        <w:szCs w:val="20"/>
      </w:rPr>
    </w:lvl>
    <w:lvl w:ilvl="4">
      <w:numFmt w:val="bullet"/>
      <w:lvlText w:val="▪"/>
      <w:lvlJc w:val="left"/>
      <w:pPr>
        <w:ind w:left="2160" w:hanging="360"/>
      </w:pPr>
      <w:rPr>
        <w:rFonts w:ascii="Noto Sans Symbols" w:eastAsia="Noto Sans Symbols" w:hAnsi="Noto Sans Symbols" w:cs="Noto Sans Symbols"/>
        <w:sz w:val="20"/>
        <w:szCs w:val="20"/>
      </w:rPr>
    </w:lvl>
    <w:lvl w:ilvl="5">
      <w:numFmt w:val="bullet"/>
      <w:lvlText w:val="▪"/>
      <w:lvlJc w:val="left"/>
      <w:pPr>
        <w:ind w:left="2520" w:hanging="360"/>
      </w:pPr>
      <w:rPr>
        <w:rFonts w:ascii="Noto Sans Symbols" w:eastAsia="Noto Sans Symbols" w:hAnsi="Noto Sans Symbols" w:cs="Noto Sans Symbols"/>
        <w:sz w:val="20"/>
        <w:szCs w:val="20"/>
      </w:rPr>
    </w:lvl>
    <w:lvl w:ilvl="6">
      <w:numFmt w:val="bullet"/>
      <w:lvlText w:val="▪"/>
      <w:lvlJc w:val="left"/>
      <w:pPr>
        <w:ind w:left="2880" w:hanging="360"/>
      </w:pPr>
      <w:rPr>
        <w:rFonts w:ascii="Noto Sans Symbols" w:eastAsia="Noto Sans Symbols" w:hAnsi="Noto Sans Symbols" w:cs="Noto Sans Symbols"/>
        <w:sz w:val="20"/>
        <w:szCs w:val="20"/>
      </w:rPr>
    </w:lvl>
    <w:lvl w:ilvl="7">
      <w:numFmt w:val="bullet"/>
      <w:lvlText w:val="▪"/>
      <w:lvlJc w:val="left"/>
      <w:pPr>
        <w:ind w:left="3240" w:hanging="360"/>
      </w:pPr>
      <w:rPr>
        <w:rFonts w:ascii="Noto Sans Symbols" w:eastAsia="Noto Sans Symbols" w:hAnsi="Noto Sans Symbols" w:cs="Noto Sans Symbols"/>
        <w:sz w:val="20"/>
        <w:szCs w:val="20"/>
      </w:rPr>
    </w:lvl>
    <w:lvl w:ilvl="8">
      <w:numFmt w:val="bullet"/>
      <w:lvlText w:val="▪"/>
      <w:lvlJc w:val="left"/>
      <w:pPr>
        <w:ind w:left="3600" w:hanging="360"/>
      </w:pPr>
      <w:rPr>
        <w:rFonts w:ascii="Noto Sans Symbols" w:eastAsia="Noto Sans Symbols" w:hAnsi="Noto Sans Symbols" w:cs="Noto Sans Symbols"/>
        <w:sz w:val="20"/>
        <w:szCs w:val="20"/>
      </w:rPr>
    </w:lvl>
  </w:abstractNum>
  <w:abstractNum w:abstractNumId="3" w15:restartNumberingAfterBreak="0">
    <w:nsid w:val="620403D1"/>
    <w:multiLevelType w:val="hybridMultilevel"/>
    <w:tmpl w:val="2A74FCAA"/>
    <w:lvl w:ilvl="0" w:tplc="26A4DD2A">
      <w:numFmt w:val="bullet"/>
      <w:lvlText w:val=""/>
      <w:lvlJc w:val="left"/>
      <w:pPr>
        <w:ind w:left="720" w:hanging="360"/>
      </w:pPr>
      <w:rPr>
        <w:rFonts w:ascii="Wingdings" w:eastAsia="Calibri"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2570219"/>
    <w:multiLevelType w:val="multilevel"/>
    <w:tmpl w:val="2CBEF43A"/>
    <w:styleLink w:val="WWNum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440" w:hanging="360"/>
      </w:pPr>
      <w:rPr>
        <w:rFonts w:ascii="Noto Sans Symbols" w:eastAsia="Noto Sans Symbols" w:hAnsi="Noto Sans Symbols" w:cs="Noto Sans Symbols"/>
        <w:sz w:val="20"/>
        <w:szCs w:val="20"/>
      </w:rPr>
    </w:lvl>
    <w:lvl w:ilvl="3">
      <w:numFmt w:val="bullet"/>
      <w:lvlText w:val="▪"/>
      <w:lvlJc w:val="left"/>
      <w:pPr>
        <w:ind w:left="1800" w:hanging="360"/>
      </w:pPr>
      <w:rPr>
        <w:rFonts w:ascii="Noto Sans Symbols" w:eastAsia="Noto Sans Symbols" w:hAnsi="Noto Sans Symbols" w:cs="Noto Sans Symbols"/>
        <w:sz w:val="20"/>
        <w:szCs w:val="20"/>
      </w:rPr>
    </w:lvl>
    <w:lvl w:ilvl="4">
      <w:numFmt w:val="bullet"/>
      <w:lvlText w:val="▪"/>
      <w:lvlJc w:val="left"/>
      <w:pPr>
        <w:ind w:left="2160" w:hanging="360"/>
      </w:pPr>
      <w:rPr>
        <w:rFonts w:ascii="Noto Sans Symbols" w:eastAsia="Noto Sans Symbols" w:hAnsi="Noto Sans Symbols" w:cs="Noto Sans Symbols"/>
        <w:sz w:val="20"/>
        <w:szCs w:val="20"/>
      </w:rPr>
    </w:lvl>
    <w:lvl w:ilvl="5">
      <w:numFmt w:val="bullet"/>
      <w:lvlText w:val="▪"/>
      <w:lvlJc w:val="left"/>
      <w:pPr>
        <w:ind w:left="2520" w:hanging="360"/>
      </w:pPr>
      <w:rPr>
        <w:rFonts w:ascii="Noto Sans Symbols" w:eastAsia="Noto Sans Symbols" w:hAnsi="Noto Sans Symbols" w:cs="Noto Sans Symbols"/>
        <w:sz w:val="20"/>
        <w:szCs w:val="20"/>
      </w:rPr>
    </w:lvl>
    <w:lvl w:ilvl="6">
      <w:numFmt w:val="bullet"/>
      <w:lvlText w:val="▪"/>
      <w:lvlJc w:val="left"/>
      <w:pPr>
        <w:ind w:left="2880" w:hanging="360"/>
      </w:pPr>
      <w:rPr>
        <w:rFonts w:ascii="Noto Sans Symbols" w:eastAsia="Noto Sans Symbols" w:hAnsi="Noto Sans Symbols" w:cs="Noto Sans Symbols"/>
        <w:sz w:val="20"/>
        <w:szCs w:val="20"/>
      </w:rPr>
    </w:lvl>
    <w:lvl w:ilvl="7">
      <w:numFmt w:val="bullet"/>
      <w:lvlText w:val="▪"/>
      <w:lvlJc w:val="left"/>
      <w:pPr>
        <w:ind w:left="3240" w:hanging="360"/>
      </w:pPr>
      <w:rPr>
        <w:rFonts w:ascii="Noto Sans Symbols" w:eastAsia="Noto Sans Symbols" w:hAnsi="Noto Sans Symbols" w:cs="Noto Sans Symbols"/>
        <w:sz w:val="20"/>
        <w:szCs w:val="20"/>
      </w:rPr>
    </w:lvl>
    <w:lvl w:ilvl="8">
      <w:numFmt w:val="bullet"/>
      <w:lvlText w:val="▪"/>
      <w:lvlJc w:val="left"/>
      <w:pPr>
        <w:ind w:left="3600" w:hanging="360"/>
      </w:pPr>
      <w:rPr>
        <w:rFonts w:ascii="Noto Sans Symbols" w:eastAsia="Noto Sans Symbols" w:hAnsi="Noto Sans Symbols" w:cs="Noto Sans Symbols"/>
        <w:sz w:val="20"/>
        <w:szCs w:val="20"/>
      </w:rPr>
    </w:lvl>
  </w:abstractNum>
  <w:abstractNum w:abstractNumId="5" w15:restartNumberingAfterBreak="0">
    <w:nsid w:val="794A699C"/>
    <w:multiLevelType w:val="multilevel"/>
    <w:tmpl w:val="9502EE2E"/>
    <w:styleLink w:val="WWNum3"/>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440" w:hanging="360"/>
      </w:pPr>
      <w:rPr>
        <w:rFonts w:ascii="Noto Sans Symbols" w:eastAsia="Noto Sans Symbols" w:hAnsi="Noto Sans Symbols" w:cs="Noto Sans Symbols"/>
        <w:sz w:val="20"/>
        <w:szCs w:val="20"/>
      </w:rPr>
    </w:lvl>
    <w:lvl w:ilvl="3">
      <w:numFmt w:val="bullet"/>
      <w:lvlText w:val="▪"/>
      <w:lvlJc w:val="left"/>
      <w:pPr>
        <w:ind w:left="1800" w:hanging="360"/>
      </w:pPr>
      <w:rPr>
        <w:rFonts w:ascii="Noto Sans Symbols" w:eastAsia="Noto Sans Symbols" w:hAnsi="Noto Sans Symbols" w:cs="Noto Sans Symbols"/>
        <w:sz w:val="20"/>
        <w:szCs w:val="20"/>
      </w:rPr>
    </w:lvl>
    <w:lvl w:ilvl="4">
      <w:numFmt w:val="bullet"/>
      <w:lvlText w:val="▪"/>
      <w:lvlJc w:val="left"/>
      <w:pPr>
        <w:ind w:left="2160" w:hanging="360"/>
      </w:pPr>
      <w:rPr>
        <w:rFonts w:ascii="Noto Sans Symbols" w:eastAsia="Noto Sans Symbols" w:hAnsi="Noto Sans Symbols" w:cs="Noto Sans Symbols"/>
        <w:sz w:val="20"/>
        <w:szCs w:val="20"/>
      </w:rPr>
    </w:lvl>
    <w:lvl w:ilvl="5">
      <w:numFmt w:val="bullet"/>
      <w:lvlText w:val="▪"/>
      <w:lvlJc w:val="left"/>
      <w:pPr>
        <w:ind w:left="2520" w:hanging="360"/>
      </w:pPr>
      <w:rPr>
        <w:rFonts w:ascii="Noto Sans Symbols" w:eastAsia="Noto Sans Symbols" w:hAnsi="Noto Sans Symbols" w:cs="Noto Sans Symbols"/>
        <w:sz w:val="20"/>
        <w:szCs w:val="20"/>
      </w:rPr>
    </w:lvl>
    <w:lvl w:ilvl="6">
      <w:numFmt w:val="bullet"/>
      <w:lvlText w:val="▪"/>
      <w:lvlJc w:val="left"/>
      <w:pPr>
        <w:ind w:left="2880" w:hanging="360"/>
      </w:pPr>
      <w:rPr>
        <w:rFonts w:ascii="Noto Sans Symbols" w:eastAsia="Noto Sans Symbols" w:hAnsi="Noto Sans Symbols" w:cs="Noto Sans Symbols"/>
        <w:sz w:val="20"/>
        <w:szCs w:val="20"/>
      </w:rPr>
    </w:lvl>
    <w:lvl w:ilvl="7">
      <w:numFmt w:val="bullet"/>
      <w:lvlText w:val="▪"/>
      <w:lvlJc w:val="left"/>
      <w:pPr>
        <w:ind w:left="3240" w:hanging="360"/>
      </w:pPr>
      <w:rPr>
        <w:rFonts w:ascii="Noto Sans Symbols" w:eastAsia="Noto Sans Symbols" w:hAnsi="Noto Sans Symbols" w:cs="Noto Sans Symbols"/>
        <w:sz w:val="20"/>
        <w:szCs w:val="20"/>
      </w:rPr>
    </w:lvl>
    <w:lvl w:ilvl="8">
      <w:numFmt w:val="bullet"/>
      <w:lvlText w:val="▪"/>
      <w:lvlJc w:val="left"/>
      <w:pPr>
        <w:ind w:left="3600" w:hanging="360"/>
      </w:pPr>
      <w:rPr>
        <w:rFonts w:ascii="Noto Sans Symbols" w:eastAsia="Noto Sans Symbols" w:hAnsi="Noto Sans Symbols" w:cs="Noto Sans Symbols"/>
        <w:sz w:val="20"/>
        <w:szCs w:val="20"/>
      </w:rPr>
    </w:lvl>
  </w:abstractNum>
  <w:abstractNum w:abstractNumId="6" w15:restartNumberingAfterBreak="0">
    <w:nsid w:val="7C1E5A53"/>
    <w:multiLevelType w:val="hybridMultilevel"/>
    <w:tmpl w:val="8B943834"/>
    <w:lvl w:ilvl="0" w:tplc="8B26CED0">
      <w:numFmt w:val="bullet"/>
      <w:lvlText w:val="-"/>
      <w:lvlJc w:val="left"/>
      <w:pPr>
        <w:ind w:left="720" w:hanging="360"/>
      </w:pPr>
      <w:rPr>
        <w:rFonts w:ascii="Calibri" w:eastAsia="Calibr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0"/>
  </w:num>
  <w:num w:numId="5">
    <w:abstractNumId w:val="5"/>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42"/>
    <w:rsid w:val="0001602B"/>
    <w:rsid w:val="000756F0"/>
    <w:rsid w:val="002360BD"/>
    <w:rsid w:val="00260F0F"/>
    <w:rsid w:val="002D22BB"/>
    <w:rsid w:val="002F2929"/>
    <w:rsid w:val="003976C1"/>
    <w:rsid w:val="00665648"/>
    <w:rsid w:val="00685213"/>
    <w:rsid w:val="006A0057"/>
    <w:rsid w:val="007E39C1"/>
    <w:rsid w:val="009238D3"/>
    <w:rsid w:val="00981D0F"/>
    <w:rsid w:val="00986A03"/>
    <w:rsid w:val="009D2661"/>
    <w:rsid w:val="009D36BC"/>
    <w:rsid w:val="00A57433"/>
    <w:rsid w:val="00A84342"/>
    <w:rsid w:val="00B510B2"/>
    <w:rsid w:val="00B56599"/>
    <w:rsid w:val="00BA4BE1"/>
    <w:rsid w:val="00C06AFA"/>
    <w:rsid w:val="00D00581"/>
    <w:rsid w:val="00D75406"/>
    <w:rsid w:val="00EE6716"/>
    <w:rsid w:val="00F86B4D"/>
    <w:rsid w:val="00FC7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8B63-5C1A-4D88-BA66-1016EEBD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33"/>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57433"/>
    <w:pPr>
      <w:widowControl/>
      <w:suppressAutoHyphens/>
    </w:pPr>
  </w:style>
  <w:style w:type="paragraph" w:customStyle="1" w:styleId="Heading">
    <w:name w:val="Heading"/>
    <w:basedOn w:val="Standard"/>
    <w:next w:val="Textbody"/>
    <w:rsid w:val="00A57433"/>
    <w:pPr>
      <w:keepNext/>
      <w:keepLines/>
      <w:spacing w:before="480" w:after="120"/>
    </w:pPr>
    <w:rPr>
      <w:rFonts w:ascii="Arial" w:eastAsia="Microsoft YaHei" w:hAnsi="Arial" w:cs="Mangal"/>
      <w:b/>
      <w:bCs/>
      <w:sz w:val="72"/>
      <w:szCs w:val="72"/>
    </w:rPr>
  </w:style>
  <w:style w:type="paragraph" w:customStyle="1" w:styleId="Textbody">
    <w:name w:val="Text body"/>
    <w:basedOn w:val="Standard"/>
    <w:rsid w:val="00A57433"/>
    <w:pPr>
      <w:spacing w:after="120"/>
    </w:pPr>
  </w:style>
  <w:style w:type="paragraph" w:styleId="Liste">
    <w:name w:val="List"/>
    <w:basedOn w:val="Textbody"/>
    <w:rsid w:val="00A57433"/>
    <w:rPr>
      <w:rFonts w:cs="Mangal"/>
    </w:rPr>
  </w:style>
  <w:style w:type="paragraph" w:styleId="Lgende">
    <w:name w:val="caption"/>
    <w:basedOn w:val="Standard"/>
    <w:rsid w:val="00A57433"/>
    <w:pPr>
      <w:suppressLineNumbers/>
      <w:spacing w:before="120" w:after="120"/>
    </w:pPr>
    <w:rPr>
      <w:rFonts w:cs="Mangal"/>
      <w:i/>
      <w:iCs/>
    </w:rPr>
  </w:style>
  <w:style w:type="paragraph" w:customStyle="1" w:styleId="Index">
    <w:name w:val="Index"/>
    <w:basedOn w:val="Standard"/>
    <w:rsid w:val="00A57433"/>
    <w:pPr>
      <w:suppressLineNumbers/>
    </w:pPr>
    <w:rPr>
      <w:rFonts w:cs="Mangal"/>
    </w:rPr>
  </w:style>
  <w:style w:type="paragraph" w:customStyle="1" w:styleId="Titre11">
    <w:name w:val="Titre 11"/>
    <w:basedOn w:val="Standard"/>
    <w:rsid w:val="00A57433"/>
    <w:pPr>
      <w:keepNext/>
      <w:keepLines/>
      <w:spacing w:before="480" w:after="120"/>
      <w:outlineLvl w:val="0"/>
    </w:pPr>
    <w:rPr>
      <w:b/>
      <w:sz w:val="48"/>
      <w:szCs w:val="48"/>
    </w:rPr>
  </w:style>
  <w:style w:type="paragraph" w:customStyle="1" w:styleId="Titre21">
    <w:name w:val="Titre 21"/>
    <w:basedOn w:val="Standard"/>
    <w:rsid w:val="00A57433"/>
    <w:pPr>
      <w:keepNext/>
      <w:keepLines/>
      <w:spacing w:before="360" w:after="80"/>
      <w:outlineLvl w:val="1"/>
    </w:pPr>
    <w:rPr>
      <w:b/>
      <w:sz w:val="36"/>
      <w:szCs w:val="36"/>
    </w:rPr>
  </w:style>
  <w:style w:type="paragraph" w:customStyle="1" w:styleId="Titre31">
    <w:name w:val="Titre 31"/>
    <w:basedOn w:val="Standard"/>
    <w:rsid w:val="00A57433"/>
    <w:pPr>
      <w:keepNext/>
      <w:keepLines/>
      <w:spacing w:before="280" w:after="80"/>
      <w:outlineLvl w:val="2"/>
    </w:pPr>
    <w:rPr>
      <w:b/>
      <w:sz w:val="28"/>
      <w:szCs w:val="28"/>
    </w:rPr>
  </w:style>
  <w:style w:type="paragraph" w:customStyle="1" w:styleId="Titre41">
    <w:name w:val="Titre 41"/>
    <w:basedOn w:val="Standard"/>
    <w:rsid w:val="00A57433"/>
    <w:pPr>
      <w:keepNext/>
      <w:keepLines/>
      <w:spacing w:before="240" w:after="40"/>
      <w:outlineLvl w:val="3"/>
    </w:pPr>
    <w:rPr>
      <w:b/>
    </w:rPr>
  </w:style>
  <w:style w:type="paragraph" w:customStyle="1" w:styleId="Titre51">
    <w:name w:val="Titre 51"/>
    <w:basedOn w:val="Standard"/>
    <w:rsid w:val="00A57433"/>
    <w:pPr>
      <w:keepNext/>
      <w:keepLines/>
      <w:spacing w:before="220" w:after="40"/>
      <w:outlineLvl w:val="4"/>
    </w:pPr>
    <w:rPr>
      <w:b/>
      <w:sz w:val="22"/>
      <w:szCs w:val="22"/>
    </w:rPr>
  </w:style>
  <w:style w:type="paragraph" w:customStyle="1" w:styleId="Titre61">
    <w:name w:val="Titre 61"/>
    <w:basedOn w:val="Standard"/>
    <w:rsid w:val="00A57433"/>
    <w:pPr>
      <w:keepNext/>
      <w:keepLines/>
      <w:spacing w:before="200" w:after="40"/>
      <w:outlineLvl w:val="5"/>
    </w:pPr>
    <w:rPr>
      <w:b/>
      <w:sz w:val="20"/>
      <w:szCs w:val="20"/>
    </w:rPr>
  </w:style>
  <w:style w:type="paragraph" w:customStyle="1" w:styleId="Lgende1">
    <w:name w:val="Légende1"/>
    <w:basedOn w:val="Standard"/>
    <w:rsid w:val="00A57433"/>
    <w:pPr>
      <w:suppressLineNumbers/>
      <w:spacing w:before="120" w:after="120"/>
    </w:pPr>
    <w:rPr>
      <w:rFonts w:cs="Mangal"/>
      <w:i/>
      <w:iCs/>
    </w:rPr>
  </w:style>
  <w:style w:type="paragraph" w:styleId="Sous-titre">
    <w:name w:val="Subtitle"/>
    <w:basedOn w:val="Standard"/>
    <w:next w:val="Textbody"/>
    <w:uiPriority w:val="11"/>
    <w:qFormat/>
    <w:rsid w:val="00A57433"/>
    <w:pPr>
      <w:keepNext/>
      <w:keepLines/>
      <w:spacing w:before="360" w:after="80"/>
    </w:pPr>
    <w:rPr>
      <w:rFonts w:ascii="Georgia" w:eastAsia="Georgia" w:hAnsi="Georgia" w:cs="Georgia"/>
      <w:i/>
      <w:iCs/>
      <w:color w:val="666666"/>
      <w:sz w:val="48"/>
      <w:szCs w:val="48"/>
    </w:rPr>
  </w:style>
  <w:style w:type="paragraph" w:styleId="NormalWeb">
    <w:name w:val="Normal (Web)"/>
    <w:basedOn w:val="Standard"/>
    <w:rsid w:val="00A57433"/>
    <w:pPr>
      <w:spacing w:before="100" w:after="100"/>
    </w:pPr>
    <w:rPr>
      <w:rFonts w:ascii="Times New Roman" w:eastAsia="Times New Roman" w:hAnsi="Times New Roman" w:cs="Times New Roman"/>
      <w:lang w:eastAsia="fr-FR"/>
    </w:rPr>
  </w:style>
  <w:style w:type="paragraph" w:styleId="Paragraphedeliste">
    <w:name w:val="List Paragraph"/>
    <w:basedOn w:val="Standard"/>
    <w:rsid w:val="00A57433"/>
    <w:pPr>
      <w:ind w:left="720"/>
    </w:pPr>
  </w:style>
  <w:style w:type="paragraph" w:styleId="Commentaire">
    <w:name w:val="annotation text"/>
    <w:basedOn w:val="Standard"/>
    <w:rsid w:val="00A57433"/>
    <w:rPr>
      <w:rFonts w:cs="Mangal"/>
      <w:sz w:val="20"/>
      <w:szCs w:val="18"/>
    </w:rPr>
  </w:style>
  <w:style w:type="paragraph" w:styleId="Objetducommentaire">
    <w:name w:val="annotation subject"/>
    <w:basedOn w:val="Commentaire"/>
    <w:rsid w:val="00A57433"/>
    <w:rPr>
      <w:b/>
      <w:bCs/>
    </w:rPr>
  </w:style>
  <w:style w:type="paragraph" w:styleId="Textedebulles">
    <w:name w:val="Balloon Text"/>
    <w:basedOn w:val="Standard"/>
    <w:rsid w:val="00A57433"/>
    <w:rPr>
      <w:rFonts w:ascii="Tahoma" w:hAnsi="Tahoma" w:cs="Mangal"/>
      <w:sz w:val="16"/>
      <w:szCs w:val="14"/>
    </w:rPr>
  </w:style>
  <w:style w:type="character" w:customStyle="1" w:styleId="ListLabel1">
    <w:name w:val="ListLabel 1"/>
    <w:rsid w:val="00A57433"/>
    <w:rPr>
      <w:rFonts w:eastAsia="Noto Sans Symbols" w:cs="Noto Sans Symbols"/>
      <w:color w:val="000000"/>
      <w:sz w:val="20"/>
      <w:szCs w:val="20"/>
    </w:rPr>
  </w:style>
  <w:style w:type="character" w:customStyle="1" w:styleId="ListLabel2">
    <w:name w:val="ListLabel 2"/>
    <w:rsid w:val="00A57433"/>
    <w:rPr>
      <w:rFonts w:eastAsia="Courier New" w:cs="Courier New"/>
      <w:sz w:val="20"/>
      <w:szCs w:val="20"/>
    </w:rPr>
  </w:style>
  <w:style w:type="character" w:customStyle="1" w:styleId="ListLabel3">
    <w:name w:val="ListLabel 3"/>
    <w:rsid w:val="00A57433"/>
    <w:rPr>
      <w:rFonts w:eastAsia="Noto Sans Symbols" w:cs="Noto Sans Symbols"/>
      <w:sz w:val="20"/>
      <w:szCs w:val="20"/>
    </w:rPr>
  </w:style>
  <w:style w:type="character" w:styleId="Marquedecommentaire">
    <w:name w:val="annotation reference"/>
    <w:basedOn w:val="Policepardfaut"/>
    <w:rsid w:val="00A57433"/>
    <w:rPr>
      <w:sz w:val="16"/>
      <w:szCs w:val="16"/>
    </w:rPr>
  </w:style>
  <w:style w:type="character" w:customStyle="1" w:styleId="CommentaireCar">
    <w:name w:val="Commentaire Car"/>
    <w:basedOn w:val="Policepardfaut"/>
    <w:rsid w:val="00A57433"/>
    <w:rPr>
      <w:rFonts w:cs="Mangal"/>
      <w:sz w:val="20"/>
      <w:szCs w:val="18"/>
    </w:rPr>
  </w:style>
  <w:style w:type="character" w:customStyle="1" w:styleId="ObjetducommentaireCar">
    <w:name w:val="Objet du commentaire Car"/>
    <w:basedOn w:val="CommentaireCar"/>
    <w:rsid w:val="00A57433"/>
    <w:rPr>
      <w:rFonts w:cs="Mangal"/>
      <w:b/>
      <w:bCs/>
      <w:sz w:val="20"/>
      <w:szCs w:val="18"/>
    </w:rPr>
  </w:style>
  <w:style w:type="character" w:customStyle="1" w:styleId="TextedebullesCar">
    <w:name w:val="Texte de bulles Car"/>
    <w:basedOn w:val="Policepardfaut"/>
    <w:rsid w:val="00A57433"/>
    <w:rPr>
      <w:rFonts w:ascii="Tahoma" w:hAnsi="Tahoma" w:cs="Mangal"/>
      <w:sz w:val="16"/>
      <w:szCs w:val="14"/>
    </w:rPr>
  </w:style>
  <w:style w:type="character" w:customStyle="1" w:styleId="ListLabel4">
    <w:name w:val="ListLabel 4"/>
    <w:rsid w:val="00A57433"/>
    <w:rPr>
      <w:rFonts w:eastAsia="Noto Sans Symbols" w:cs="Noto Sans Symbols"/>
      <w:color w:val="000000"/>
      <w:sz w:val="20"/>
      <w:szCs w:val="20"/>
    </w:rPr>
  </w:style>
  <w:style w:type="character" w:customStyle="1" w:styleId="ListLabel5">
    <w:name w:val="ListLabel 5"/>
    <w:rsid w:val="00A57433"/>
    <w:rPr>
      <w:rFonts w:eastAsia="Courier New" w:cs="Courier New"/>
      <w:sz w:val="20"/>
      <w:szCs w:val="20"/>
    </w:rPr>
  </w:style>
  <w:style w:type="character" w:customStyle="1" w:styleId="ListLabel6">
    <w:name w:val="ListLabel 6"/>
    <w:rsid w:val="00A57433"/>
    <w:rPr>
      <w:rFonts w:eastAsia="Noto Sans Symbols" w:cs="Noto Sans Symbols"/>
      <w:sz w:val="20"/>
      <w:szCs w:val="20"/>
    </w:rPr>
  </w:style>
  <w:style w:type="numbering" w:customStyle="1" w:styleId="WWNum1">
    <w:name w:val="WWNum1"/>
    <w:basedOn w:val="Aucuneliste"/>
    <w:rsid w:val="00A57433"/>
    <w:pPr>
      <w:numPr>
        <w:numId w:val="1"/>
      </w:numPr>
    </w:pPr>
  </w:style>
  <w:style w:type="numbering" w:customStyle="1" w:styleId="WWNum2">
    <w:name w:val="WWNum2"/>
    <w:basedOn w:val="Aucuneliste"/>
    <w:rsid w:val="00A57433"/>
    <w:pPr>
      <w:numPr>
        <w:numId w:val="2"/>
      </w:numPr>
    </w:pPr>
  </w:style>
  <w:style w:type="numbering" w:customStyle="1" w:styleId="WWNum3">
    <w:name w:val="WWNum3"/>
    <w:basedOn w:val="Aucuneliste"/>
    <w:rsid w:val="00A574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3807">
      <w:bodyDiv w:val="1"/>
      <w:marLeft w:val="0"/>
      <w:marRight w:val="0"/>
      <w:marTop w:val="0"/>
      <w:marBottom w:val="0"/>
      <w:divBdr>
        <w:top w:val="none" w:sz="0" w:space="0" w:color="auto"/>
        <w:left w:val="none" w:sz="0" w:space="0" w:color="auto"/>
        <w:bottom w:val="none" w:sz="0" w:space="0" w:color="auto"/>
        <w:right w:val="none" w:sz="0" w:space="0" w:color="auto"/>
      </w:divBdr>
    </w:div>
    <w:div w:id="20436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9ABCA450</Template>
  <TotalTime>1</TotalTime>
  <Pages>2</Pages>
  <Words>829</Words>
  <Characters>4563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BOURRON Stanislas</dc:creator>
  <cp:lastModifiedBy>MORIN-BARGETON Myriam</cp:lastModifiedBy>
  <cp:revision>2</cp:revision>
  <dcterms:created xsi:type="dcterms:W3CDTF">2020-05-18T09:08:00Z</dcterms:created>
  <dcterms:modified xsi:type="dcterms:W3CDTF">2020-05-18T09:08:00Z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